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11" w:rsidRPr="001C1B11" w:rsidRDefault="001C1B11" w:rsidP="001C1B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Гарантії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1B11">
        <w:rPr>
          <w:rFonts w:ascii="Times New Roman" w:hAnsi="Times New Roman" w:cs="Times New Roman"/>
          <w:b/>
          <w:sz w:val="28"/>
          <w:szCs w:val="28"/>
        </w:rPr>
        <w:t>державного</w:t>
      </w:r>
      <w:proofErr w:type="gram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викривачів</w:t>
      </w:r>
      <w:proofErr w:type="spellEnd"/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r w:rsidRPr="001C1B11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викривачі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право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 особи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нею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особою.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</w:p>
    <w:p w:rsidR="001C1B11" w:rsidRPr="001C1B11" w:rsidRDefault="001C1B11" w:rsidP="001C1B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Гарантії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анонімності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нерозголошення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викривачі</w:t>
      </w:r>
      <w:proofErr w:type="gramStart"/>
      <w:r w:rsidRPr="001C1B11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анонімно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B11">
        <w:rPr>
          <w:rFonts w:ascii="Times New Roman" w:hAnsi="Times New Roman" w:cs="Times New Roman"/>
          <w:sz w:val="28"/>
          <w:szCs w:val="28"/>
        </w:rPr>
        <w:t>п’ята</w:t>
      </w:r>
      <w:proofErr w:type="spellEnd"/>
      <w:proofErr w:type="gram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53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>»).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розголошена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законом (абзац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53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>»).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11" w:rsidRPr="001C1B11" w:rsidRDefault="001C1B11" w:rsidP="001C1B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Гарантії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наявності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загрози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життю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житлу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здоров’ю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та майну 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1B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здійсненим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житлу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та майну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органами до них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організаційно-технічні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протиправних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посягань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B1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53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>»).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</w:p>
    <w:p w:rsidR="001C1B11" w:rsidRPr="001C1B11" w:rsidRDefault="001C1B11" w:rsidP="001C1B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Гарантії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трудових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прав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r w:rsidRPr="001C1B11">
        <w:rPr>
          <w:rFonts w:ascii="Times New Roman" w:hAnsi="Times New Roman" w:cs="Times New Roman"/>
          <w:sz w:val="28"/>
          <w:szCs w:val="28"/>
        </w:rPr>
        <w:t xml:space="preserve">До особи, яка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здійснила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1C1B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у звʼязку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заходи: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1B11">
        <w:rPr>
          <w:rFonts w:ascii="Times New Roman" w:hAnsi="Times New Roman" w:cs="Times New Roman"/>
          <w:sz w:val="28"/>
          <w:szCs w:val="28"/>
        </w:rPr>
        <w:lastRenderedPageBreak/>
        <w:t>звільнення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примушення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>;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>;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заходи (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призначенні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посаду,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плати) (</w:t>
      </w:r>
      <w:proofErr w:type="gramStart"/>
      <w:r w:rsidRPr="001C1B11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53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роботу 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поновлений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органом,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235 Кодексу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>).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r w:rsidRPr="001C1B1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звільнений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здійсненим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особою, та за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1C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шестимісячного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235 Кодексу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>).</w:t>
      </w:r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</w:p>
    <w:p w:rsidR="001C1B11" w:rsidRPr="001C1B11" w:rsidRDefault="001C1B11" w:rsidP="001C1B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Гарантії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адміністративному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процесі</w:t>
      </w:r>
      <w:proofErr w:type="spellEnd"/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1B11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бути залучено як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особа, яка не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заявляє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предмета спору,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роботодавцем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примушування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атестац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призначенні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посаду,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B11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 xml:space="preserve"> (абзац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B1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53 Кодексу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</w:p>
    <w:p w:rsidR="00516EE3" w:rsidRDefault="00516EE3" w:rsidP="001C1B11">
      <w:pPr>
        <w:rPr>
          <w:rFonts w:ascii="Times New Roman" w:hAnsi="Times New Roman" w:cs="Times New Roman"/>
          <w:b/>
          <w:sz w:val="28"/>
          <w:szCs w:val="28"/>
        </w:rPr>
      </w:pPr>
    </w:p>
    <w:p w:rsidR="00516EE3" w:rsidRDefault="00516EE3" w:rsidP="001C1B11">
      <w:pPr>
        <w:rPr>
          <w:rFonts w:ascii="Times New Roman" w:hAnsi="Times New Roman" w:cs="Times New Roman"/>
          <w:b/>
          <w:sz w:val="28"/>
          <w:szCs w:val="28"/>
        </w:rPr>
      </w:pPr>
    </w:p>
    <w:p w:rsidR="001C1B11" w:rsidRPr="001C1B11" w:rsidRDefault="001C1B11" w:rsidP="001C1B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lastRenderedPageBreak/>
        <w:t>Гарантії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цивільному</w:t>
      </w:r>
      <w:proofErr w:type="spellEnd"/>
      <w:r w:rsidRPr="001C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b/>
          <w:sz w:val="28"/>
          <w:szCs w:val="28"/>
        </w:rPr>
        <w:t>процесі</w:t>
      </w:r>
      <w:proofErr w:type="spellEnd"/>
    </w:p>
    <w:p w:rsidR="001C1B11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1B11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агентство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бути залучено як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особа, яка не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заявляє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предмета спору,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роботодавцем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примушування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атестац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1C1B1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призначенні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посаду,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особою (абзац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кодексу).</w:t>
      </w:r>
      <w:proofErr w:type="gramEnd"/>
    </w:p>
    <w:p w:rsidR="00A1260C" w:rsidRPr="001C1B11" w:rsidRDefault="001C1B11" w:rsidP="001C1B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1B11">
        <w:rPr>
          <w:rFonts w:ascii="Times New Roman" w:hAnsi="Times New Roman" w:cs="Times New Roman"/>
          <w:sz w:val="28"/>
          <w:szCs w:val="28"/>
        </w:rPr>
        <w:t xml:space="preserve">У справах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роботодавцем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примушування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призначенні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посаду,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членом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правомірності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1B11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вчинених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відповідача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(абзац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11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1C1B11">
        <w:rPr>
          <w:rFonts w:ascii="Times New Roman" w:hAnsi="Times New Roman" w:cs="Times New Roman"/>
          <w:sz w:val="28"/>
          <w:szCs w:val="28"/>
        </w:rPr>
        <w:t xml:space="preserve"> кодексу).</w:t>
      </w:r>
    </w:p>
    <w:sectPr w:rsidR="00A1260C" w:rsidRPr="001C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B11"/>
    <w:rsid w:val="001C1B11"/>
    <w:rsid w:val="00516EE3"/>
    <w:rsid w:val="00A1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2017-12-22T09:15:00Z</dcterms:created>
  <dcterms:modified xsi:type="dcterms:W3CDTF">2017-12-22T09:25:00Z</dcterms:modified>
</cp:coreProperties>
</file>